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EBB42" w14:textId="77777777" w:rsidR="008528F1" w:rsidRPr="008528F1" w:rsidRDefault="008528F1" w:rsidP="008528F1">
      <w:pPr>
        <w:spacing w:after="0" w:line="240" w:lineRule="auto"/>
        <w:jc w:val="center"/>
        <w:rPr>
          <w:rFonts w:asciiTheme="majorHAnsi" w:hAnsiTheme="majorHAnsi"/>
          <w:b/>
          <w:bCs/>
          <w:sz w:val="32"/>
          <w:szCs w:val="32"/>
        </w:rPr>
      </w:pPr>
      <w:r w:rsidRPr="008528F1">
        <w:rPr>
          <w:rFonts w:asciiTheme="majorHAnsi" w:hAnsiTheme="majorHAnsi"/>
          <w:b/>
          <w:bCs/>
          <w:sz w:val="32"/>
          <w:szCs w:val="32"/>
        </w:rPr>
        <w:t>Qualified Charitable Distributions (QCD) to Council for Relationships</w:t>
      </w:r>
    </w:p>
    <w:p w14:paraId="16F2C58B" w14:textId="77777777" w:rsidR="008528F1" w:rsidRPr="008528F1" w:rsidRDefault="008528F1" w:rsidP="008528F1">
      <w:pPr>
        <w:spacing w:line="240" w:lineRule="auto"/>
        <w:rPr>
          <w:rFonts w:asciiTheme="majorHAnsi" w:hAnsiTheme="majorHAnsi"/>
        </w:rPr>
      </w:pPr>
      <w:r w:rsidRPr="008528F1">
        <w:rPr>
          <w:rFonts w:asciiTheme="majorHAnsi" w:hAnsiTheme="majorHAnsi"/>
        </w:rPr>
        <w:pict w14:anchorId="659F868E">
          <v:rect id="_x0000_i1025" style="width:0;height:1.5pt" o:hralign="center" o:hrstd="t" o:hr="t" fillcolor="#a0a0a0" stroked="f"/>
        </w:pict>
      </w:r>
    </w:p>
    <w:p w14:paraId="7A9134FE" w14:textId="77777777" w:rsidR="008528F1" w:rsidRPr="008528F1" w:rsidRDefault="008528F1" w:rsidP="008528F1">
      <w:pPr>
        <w:rPr>
          <w:rFonts w:asciiTheme="majorHAnsi" w:hAnsiTheme="majorHAnsi"/>
        </w:rPr>
      </w:pPr>
      <w:r w:rsidRPr="008528F1">
        <w:rPr>
          <w:rFonts w:asciiTheme="majorHAnsi" w:hAnsiTheme="majorHAnsi"/>
          <w:b/>
          <w:bCs/>
        </w:rPr>
        <w:t>Donate up to $100,000 per Tax Year Directly from an IRA</w:t>
      </w:r>
    </w:p>
    <w:p w14:paraId="2FAAE9C3" w14:textId="77777777" w:rsidR="008528F1" w:rsidRPr="008528F1" w:rsidRDefault="008528F1" w:rsidP="008528F1">
      <w:pPr>
        <w:rPr>
          <w:rFonts w:asciiTheme="majorHAnsi" w:hAnsiTheme="majorHAnsi"/>
        </w:rPr>
      </w:pPr>
      <w:r w:rsidRPr="008528F1">
        <w:rPr>
          <w:rFonts w:asciiTheme="majorHAnsi" w:hAnsiTheme="majorHAnsi"/>
        </w:rPr>
        <w:t xml:space="preserve">If you’re 70½ or older, you can donate up to $100,000 per tax year directly from an Individual Retirement Account (IRA) to charities like </w:t>
      </w:r>
      <w:r w:rsidRPr="008528F1">
        <w:rPr>
          <w:rFonts w:asciiTheme="majorHAnsi" w:hAnsiTheme="majorHAnsi"/>
          <w:b/>
          <w:bCs/>
        </w:rPr>
        <w:t>Council for Relationships (CFR)</w:t>
      </w:r>
      <w:r w:rsidRPr="008528F1">
        <w:rPr>
          <w:rFonts w:asciiTheme="majorHAnsi" w:hAnsiTheme="majorHAnsi"/>
        </w:rPr>
        <w:t>.</w:t>
      </w:r>
    </w:p>
    <w:p w14:paraId="4AD6B07C" w14:textId="77777777" w:rsidR="008528F1" w:rsidRPr="008528F1" w:rsidRDefault="008528F1" w:rsidP="008528F1">
      <w:pPr>
        <w:rPr>
          <w:rFonts w:asciiTheme="majorHAnsi" w:hAnsiTheme="majorHAnsi"/>
        </w:rPr>
      </w:pPr>
      <w:r w:rsidRPr="008528F1">
        <w:rPr>
          <w:rFonts w:asciiTheme="majorHAnsi" w:hAnsiTheme="majorHAnsi"/>
        </w:rPr>
        <w:t>Qualified Charitable Distributions (QCD), also known as IRA charitable rollovers or IRA gifts, allow your dollars to make a meaningful impact while offering significant tax advantages: QCDs may be excluded from your taxable income and count toward your Required Minimum Distribution (RMD).</w:t>
      </w:r>
    </w:p>
    <w:p w14:paraId="293D6C4D" w14:textId="77777777" w:rsidR="008528F1" w:rsidRPr="008528F1" w:rsidRDefault="008528F1" w:rsidP="008528F1">
      <w:pPr>
        <w:rPr>
          <w:rFonts w:asciiTheme="majorHAnsi" w:hAnsiTheme="majorHAnsi"/>
        </w:rPr>
      </w:pPr>
      <w:r w:rsidRPr="008528F1">
        <w:rPr>
          <w:rFonts w:asciiTheme="majorHAnsi" w:hAnsiTheme="majorHAnsi"/>
        </w:rPr>
        <w:pict w14:anchorId="33F9DC8A">
          <v:rect id="_x0000_i1026" style="width:0;height:1.5pt" o:hralign="center" o:hrstd="t" o:hr="t" fillcolor="#a0a0a0" stroked="f"/>
        </w:pict>
      </w:r>
    </w:p>
    <w:p w14:paraId="347084FD" w14:textId="77777777" w:rsidR="008528F1" w:rsidRPr="008528F1" w:rsidRDefault="008528F1" w:rsidP="008528F1">
      <w:pPr>
        <w:rPr>
          <w:rFonts w:asciiTheme="majorHAnsi" w:hAnsiTheme="majorHAnsi"/>
        </w:rPr>
      </w:pPr>
      <w:r w:rsidRPr="008528F1">
        <w:rPr>
          <w:rFonts w:asciiTheme="majorHAnsi" w:hAnsiTheme="majorHAnsi"/>
          <w:b/>
          <w:bCs/>
        </w:rPr>
        <w:t xml:space="preserve">What </w:t>
      </w:r>
      <w:proofErr w:type="gramStart"/>
      <w:r w:rsidRPr="008528F1">
        <w:rPr>
          <w:rFonts w:asciiTheme="majorHAnsi" w:hAnsiTheme="majorHAnsi"/>
          <w:b/>
          <w:bCs/>
        </w:rPr>
        <w:t>are</w:t>
      </w:r>
      <w:proofErr w:type="gramEnd"/>
      <w:r w:rsidRPr="008528F1">
        <w:rPr>
          <w:rFonts w:asciiTheme="majorHAnsi" w:hAnsiTheme="majorHAnsi"/>
          <w:b/>
          <w:bCs/>
        </w:rPr>
        <w:t xml:space="preserve"> the IRA charitable rollover rules?</w:t>
      </w:r>
    </w:p>
    <w:p w14:paraId="5BAAAE88" w14:textId="77777777" w:rsidR="008528F1" w:rsidRPr="008528F1" w:rsidRDefault="008528F1" w:rsidP="008528F1">
      <w:pPr>
        <w:rPr>
          <w:rFonts w:asciiTheme="majorHAnsi" w:hAnsiTheme="majorHAnsi"/>
        </w:rPr>
      </w:pPr>
      <w:r w:rsidRPr="008528F1">
        <w:rPr>
          <w:rFonts w:asciiTheme="majorHAnsi" w:hAnsiTheme="majorHAnsi"/>
        </w:rPr>
        <w:t>Here’s how a Qualified Charitable Distribution (QCD) works:</w:t>
      </w:r>
    </w:p>
    <w:p w14:paraId="3DF68254" w14:textId="77777777" w:rsidR="008528F1" w:rsidRPr="008528F1" w:rsidRDefault="008528F1" w:rsidP="008528F1">
      <w:pPr>
        <w:numPr>
          <w:ilvl w:val="0"/>
          <w:numId w:val="1"/>
        </w:numPr>
        <w:rPr>
          <w:rFonts w:asciiTheme="majorHAnsi" w:hAnsiTheme="majorHAnsi"/>
        </w:rPr>
      </w:pPr>
      <w:r w:rsidRPr="008528F1">
        <w:rPr>
          <w:rFonts w:asciiTheme="majorHAnsi" w:hAnsiTheme="majorHAnsi"/>
        </w:rPr>
        <w:t xml:space="preserve">You must be </w:t>
      </w:r>
      <w:r w:rsidRPr="008528F1">
        <w:rPr>
          <w:rFonts w:asciiTheme="majorHAnsi" w:hAnsiTheme="majorHAnsi"/>
          <w:b/>
          <w:bCs/>
        </w:rPr>
        <w:t>70½ or older</w:t>
      </w:r>
      <w:r w:rsidRPr="008528F1">
        <w:rPr>
          <w:rFonts w:asciiTheme="majorHAnsi" w:hAnsiTheme="majorHAnsi"/>
        </w:rPr>
        <w:t xml:space="preserve"> at the time of gifting your IRA to a charity.</w:t>
      </w:r>
    </w:p>
    <w:p w14:paraId="34F2B213" w14:textId="77777777" w:rsidR="008528F1" w:rsidRPr="008528F1" w:rsidRDefault="008528F1" w:rsidP="008528F1">
      <w:pPr>
        <w:numPr>
          <w:ilvl w:val="0"/>
          <w:numId w:val="1"/>
        </w:numPr>
        <w:rPr>
          <w:rFonts w:asciiTheme="majorHAnsi" w:hAnsiTheme="majorHAnsi"/>
        </w:rPr>
      </w:pPr>
      <w:r w:rsidRPr="008528F1">
        <w:rPr>
          <w:rFonts w:asciiTheme="majorHAnsi" w:hAnsiTheme="majorHAnsi"/>
        </w:rPr>
        <w:t xml:space="preserve">You may distribute an amount, up to $100,000 in a calendar year, to one or more public charities, </w:t>
      </w:r>
      <w:proofErr w:type="gramStart"/>
      <w:r w:rsidRPr="008528F1">
        <w:rPr>
          <w:rFonts w:asciiTheme="majorHAnsi" w:hAnsiTheme="majorHAnsi"/>
        </w:rPr>
        <w:t>as long as</w:t>
      </w:r>
      <w:proofErr w:type="gramEnd"/>
      <w:r w:rsidRPr="008528F1">
        <w:rPr>
          <w:rFonts w:asciiTheme="majorHAnsi" w:hAnsiTheme="majorHAnsi"/>
        </w:rPr>
        <w:t xml:space="preserve"> it is completed by </w:t>
      </w:r>
      <w:r w:rsidRPr="008528F1">
        <w:rPr>
          <w:rFonts w:asciiTheme="majorHAnsi" w:hAnsiTheme="majorHAnsi"/>
          <w:b/>
          <w:bCs/>
        </w:rPr>
        <w:t>December 31</w:t>
      </w:r>
      <w:r w:rsidRPr="008528F1">
        <w:rPr>
          <w:rFonts w:asciiTheme="majorHAnsi" w:hAnsiTheme="majorHAnsi"/>
        </w:rPr>
        <w:t xml:space="preserve"> of that year.</w:t>
      </w:r>
    </w:p>
    <w:p w14:paraId="5DA64969" w14:textId="77777777" w:rsidR="008528F1" w:rsidRPr="008528F1" w:rsidRDefault="008528F1" w:rsidP="008528F1">
      <w:pPr>
        <w:numPr>
          <w:ilvl w:val="0"/>
          <w:numId w:val="1"/>
        </w:numPr>
        <w:rPr>
          <w:rFonts w:asciiTheme="majorHAnsi" w:hAnsiTheme="majorHAnsi"/>
        </w:rPr>
      </w:pPr>
      <w:r w:rsidRPr="008528F1">
        <w:rPr>
          <w:rFonts w:asciiTheme="majorHAnsi" w:hAnsiTheme="majorHAnsi"/>
        </w:rPr>
        <w:t xml:space="preserve">Your </w:t>
      </w:r>
      <w:r w:rsidRPr="008528F1">
        <w:rPr>
          <w:rFonts w:asciiTheme="majorHAnsi" w:hAnsiTheme="majorHAnsi"/>
          <w:b/>
          <w:bCs/>
        </w:rPr>
        <w:t>IRA administrator</w:t>
      </w:r>
      <w:r w:rsidRPr="008528F1">
        <w:rPr>
          <w:rFonts w:asciiTheme="majorHAnsi" w:hAnsiTheme="majorHAnsi"/>
        </w:rPr>
        <w:t xml:space="preserve"> must make the distribution directly to the charity, or you may write a check to the charity from your IRA checkbook. Funds that are withdrawn by you and then contributed do not qualify.</w:t>
      </w:r>
    </w:p>
    <w:p w14:paraId="4F5B1810" w14:textId="77777777" w:rsidR="008528F1" w:rsidRPr="008528F1" w:rsidRDefault="008528F1" w:rsidP="008528F1">
      <w:pPr>
        <w:rPr>
          <w:rFonts w:asciiTheme="majorHAnsi" w:hAnsiTheme="majorHAnsi"/>
        </w:rPr>
      </w:pPr>
      <w:r w:rsidRPr="008528F1">
        <w:rPr>
          <w:rFonts w:asciiTheme="majorHAnsi" w:hAnsiTheme="majorHAnsi"/>
        </w:rPr>
        <w:pict w14:anchorId="138E63A4">
          <v:rect id="_x0000_i1027" style="width:0;height:1.5pt" o:hralign="center" o:hrstd="t" o:hr="t" fillcolor="#a0a0a0" stroked="f"/>
        </w:pict>
      </w:r>
    </w:p>
    <w:p w14:paraId="74B6EC42" w14:textId="77777777" w:rsidR="008528F1" w:rsidRPr="008528F1" w:rsidRDefault="008528F1" w:rsidP="008528F1">
      <w:pPr>
        <w:rPr>
          <w:rFonts w:asciiTheme="majorHAnsi" w:hAnsiTheme="majorHAnsi"/>
        </w:rPr>
      </w:pPr>
      <w:r w:rsidRPr="008528F1">
        <w:rPr>
          <w:rFonts w:asciiTheme="majorHAnsi" w:hAnsiTheme="majorHAnsi"/>
          <w:b/>
          <w:bCs/>
        </w:rPr>
        <w:t>Benefits of making an IRA gift</w:t>
      </w:r>
    </w:p>
    <w:p w14:paraId="2892A700" w14:textId="77777777" w:rsidR="008528F1" w:rsidRPr="008528F1" w:rsidRDefault="008528F1" w:rsidP="008528F1">
      <w:pPr>
        <w:numPr>
          <w:ilvl w:val="0"/>
          <w:numId w:val="2"/>
        </w:numPr>
        <w:rPr>
          <w:rFonts w:asciiTheme="majorHAnsi" w:hAnsiTheme="majorHAnsi"/>
        </w:rPr>
      </w:pPr>
      <w:r w:rsidRPr="008528F1">
        <w:rPr>
          <w:rFonts w:asciiTheme="majorHAnsi" w:hAnsiTheme="majorHAnsi"/>
        </w:rPr>
        <w:t xml:space="preserve">QCDs </w:t>
      </w:r>
      <w:r w:rsidRPr="008528F1">
        <w:rPr>
          <w:rFonts w:asciiTheme="majorHAnsi" w:hAnsiTheme="majorHAnsi"/>
          <w:b/>
          <w:bCs/>
        </w:rPr>
        <w:t>count toward your required minimum distribution</w:t>
      </w:r>
      <w:r w:rsidRPr="008528F1">
        <w:rPr>
          <w:rFonts w:asciiTheme="majorHAnsi" w:hAnsiTheme="majorHAnsi"/>
        </w:rPr>
        <w:t xml:space="preserve"> for the year. If you must take your RMD but do not want or need the funds, QCDs are a great way to use that amount to make an impact.</w:t>
      </w:r>
    </w:p>
    <w:p w14:paraId="1D1D6AC4" w14:textId="77777777" w:rsidR="008528F1" w:rsidRPr="008528F1" w:rsidRDefault="008528F1" w:rsidP="008528F1">
      <w:pPr>
        <w:numPr>
          <w:ilvl w:val="0"/>
          <w:numId w:val="2"/>
        </w:numPr>
        <w:rPr>
          <w:rFonts w:asciiTheme="majorHAnsi" w:hAnsiTheme="majorHAnsi"/>
        </w:rPr>
      </w:pPr>
      <w:r w:rsidRPr="008528F1">
        <w:rPr>
          <w:rFonts w:asciiTheme="majorHAnsi" w:hAnsiTheme="majorHAnsi"/>
        </w:rPr>
        <w:t xml:space="preserve">You’ll </w:t>
      </w:r>
      <w:r w:rsidRPr="008528F1">
        <w:rPr>
          <w:rFonts w:asciiTheme="majorHAnsi" w:hAnsiTheme="majorHAnsi"/>
          <w:b/>
          <w:bCs/>
        </w:rPr>
        <w:t>avoid paying income tax</w:t>
      </w:r>
      <w:r w:rsidRPr="008528F1">
        <w:rPr>
          <w:rFonts w:asciiTheme="majorHAnsi" w:hAnsiTheme="majorHAnsi"/>
        </w:rPr>
        <w:t xml:space="preserve"> on amounts distributed, up to $100,000, allowing your dollars to go further.</w:t>
      </w:r>
    </w:p>
    <w:p w14:paraId="0C95AAC9" w14:textId="77777777" w:rsidR="008528F1" w:rsidRPr="008528F1" w:rsidRDefault="008528F1" w:rsidP="008528F1">
      <w:pPr>
        <w:rPr>
          <w:rFonts w:asciiTheme="majorHAnsi" w:hAnsiTheme="majorHAnsi"/>
        </w:rPr>
      </w:pPr>
      <w:r w:rsidRPr="008528F1">
        <w:rPr>
          <w:rFonts w:asciiTheme="majorHAnsi" w:hAnsiTheme="majorHAnsi"/>
        </w:rPr>
        <w:pict w14:anchorId="58914552">
          <v:rect id="_x0000_i1028" style="width:0;height:1.5pt" o:hralign="center" o:hrstd="t" o:hr="t" fillcolor="#a0a0a0" stroked="f"/>
        </w:pict>
      </w:r>
    </w:p>
    <w:p w14:paraId="64C5A2BB" w14:textId="77777777" w:rsidR="008528F1" w:rsidRPr="008528F1" w:rsidRDefault="008528F1" w:rsidP="008528F1">
      <w:pPr>
        <w:rPr>
          <w:rFonts w:asciiTheme="majorHAnsi" w:hAnsiTheme="majorHAnsi"/>
        </w:rPr>
      </w:pPr>
      <w:r w:rsidRPr="008528F1">
        <w:rPr>
          <w:rFonts w:asciiTheme="majorHAnsi" w:hAnsiTheme="majorHAnsi"/>
          <w:b/>
          <w:bCs/>
        </w:rPr>
        <w:t>How to make an IRA qualified charitable distribution</w:t>
      </w:r>
    </w:p>
    <w:p w14:paraId="0D00C53D" w14:textId="77777777" w:rsidR="008528F1" w:rsidRPr="008528F1" w:rsidRDefault="008528F1" w:rsidP="008528F1">
      <w:pPr>
        <w:rPr>
          <w:rFonts w:asciiTheme="majorHAnsi" w:hAnsiTheme="majorHAnsi"/>
        </w:rPr>
      </w:pPr>
      <w:r w:rsidRPr="008528F1">
        <w:rPr>
          <w:rFonts w:asciiTheme="majorHAnsi" w:hAnsiTheme="majorHAnsi"/>
        </w:rPr>
        <w:t>Follow these steps to make a gift from your IRA:</w:t>
      </w:r>
    </w:p>
    <w:p w14:paraId="719B7ED0" w14:textId="5B53188D" w:rsidR="008528F1" w:rsidRPr="008528F1" w:rsidRDefault="008528F1" w:rsidP="008528F1">
      <w:pPr>
        <w:numPr>
          <w:ilvl w:val="0"/>
          <w:numId w:val="3"/>
        </w:numPr>
        <w:rPr>
          <w:rFonts w:asciiTheme="majorHAnsi" w:hAnsiTheme="majorHAnsi"/>
        </w:rPr>
      </w:pPr>
      <w:r w:rsidRPr="008528F1">
        <w:rPr>
          <w:rFonts w:asciiTheme="majorHAnsi" w:hAnsiTheme="majorHAnsi"/>
          <w:b/>
          <w:bCs/>
        </w:rPr>
        <w:t>Contact your IRA administrator</w:t>
      </w:r>
      <w:r w:rsidRPr="008528F1">
        <w:rPr>
          <w:rFonts w:asciiTheme="majorHAnsi" w:hAnsiTheme="majorHAnsi"/>
        </w:rPr>
        <w:t xml:space="preserve"> and instruct them to transfer funds to </w:t>
      </w:r>
      <w:proofErr w:type="gramStart"/>
      <w:r w:rsidRPr="008528F1">
        <w:rPr>
          <w:rFonts w:asciiTheme="majorHAnsi" w:hAnsiTheme="majorHAnsi"/>
          <w:b/>
          <w:bCs/>
        </w:rPr>
        <w:t>Council</w:t>
      </w:r>
      <w:proofErr w:type="gramEnd"/>
      <w:r w:rsidRPr="008528F1">
        <w:rPr>
          <w:rFonts w:asciiTheme="majorHAnsi" w:hAnsiTheme="majorHAnsi"/>
          <w:b/>
          <w:bCs/>
        </w:rPr>
        <w:t xml:space="preserve"> for Relationships (Federal EIN #23-6297362)</w:t>
      </w:r>
      <w:r w:rsidRPr="008528F1">
        <w:rPr>
          <w:rFonts w:asciiTheme="majorHAnsi" w:hAnsiTheme="majorHAnsi"/>
        </w:rPr>
        <w:t>.</w:t>
      </w:r>
    </w:p>
    <w:p w14:paraId="755CE09A" w14:textId="77777777" w:rsidR="008528F1" w:rsidRPr="008528F1" w:rsidRDefault="008528F1" w:rsidP="008528F1">
      <w:pPr>
        <w:numPr>
          <w:ilvl w:val="0"/>
          <w:numId w:val="3"/>
        </w:numPr>
        <w:rPr>
          <w:rFonts w:asciiTheme="majorHAnsi" w:hAnsiTheme="majorHAnsi"/>
        </w:rPr>
      </w:pPr>
      <w:r w:rsidRPr="008528F1">
        <w:rPr>
          <w:rFonts w:asciiTheme="majorHAnsi" w:hAnsiTheme="majorHAnsi"/>
        </w:rPr>
        <w:t xml:space="preserve">Your financial institution should make the payment to </w:t>
      </w:r>
      <w:proofErr w:type="gramStart"/>
      <w:r w:rsidRPr="008528F1">
        <w:rPr>
          <w:rFonts w:asciiTheme="majorHAnsi" w:hAnsiTheme="majorHAnsi"/>
          <w:b/>
          <w:bCs/>
        </w:rPr>
        <w:t>Council</w:t>
      </w:r>
      <w:proofErr w:type="gramEnd"/>
      <w:r w:rsidRPr="008528F1">
        <w:rPr>
          <w:rFonts w:asciiTheme="majorHAnsi" w:hAnsiTheme="majorHAnsi"/>
          <w:b/>
          <w:bCs/>
        </w:rPr>
        <w:t xml:space="preserve"> for Relationships</w:t>
      </w:r>
      <w:r w:rsidRPr="008528F1">
        <w:rPr>
          <w:rFonts w:asciiTheme="majorHAnsi" w:hAnsiTheme="majorHAnsi"/>
        </w:rPr>
        <w:t xml:space="preserve"> and identify you as the donor by name and address. The check can be mailed to:</w:t>
      </w:r>
    </w:p>
    <w:p w14:paraId="07217BA5" w14:textId="77777777" w:rsidR="008528F1" w:rsidRPr="008528F1" w:rsidRDefault="008528F1" w:rsidP="008528F1">
      <w:pPr>
        <w:rPr>
          <w:rFonts w:asciiTheme="majorHAnsi" w:hAnsiTheme="majorHAnsi"/>
        </w:rPr>
      </w:pPr>
      <w:r w:rsidRPr="008528F1">
        <w:rPr>
          <w:rFonts w:asciiTheme="majorHAnsi" w:hAnsiTheme="majorHAnsi"/>
        </w:rPr>
        <w:t>Council for Relationships</w:t>
      </w:r>
      <w:r w:rsidRPr="008528F1">
        <w:rPr>
          <w:rFonts w:asciiTheme="majorHAnsi" w:hAnsiTheme="majorHAnsi"/>
        </w:rPr>
        <w:br/>
        <w:t>Attn: Development Office</w:t>
      </w:r>
      <w:r w:rsidRPr="008528F1">
        <w:rPr>
          <w:rFonts w:asciiTheme="majorHAnsi" w:hAnsiTheme="majorHAnsi"/>
        </w:rPr>
        <w:br/>
        <w:t>4025 Chestnut Street, 1st Floor</w:t>
      </w:r>
      <w:r w:rsidRPr="008528F1">
        <w:rPr>
          <w:rFonts w:asciiTheme="majorHAnsi" w:hAnsiTheme="majorHAnsi"/>
        </w:rPr>
        <w:br/>
        <w:t>Philadelphia, PA 19104</w:t>
      </w:r>
    </w:p>
    <w:p w14:paraId="2A911A9F" w14:textId="58ED333A" w:rsidR="008528F1" w:rsidRPr="008528F1" w:rsidRDefault="008528F1" w:rsidP="008528F1">
      <w:pPr>
        <w:numPr>
          <w:ilvl w:val="0"/>
          <w:numId w:val="3"/>
        </w:numPr>
        <w:rPr>
          <w:rFonts w:asciiTheme="majorHAnsi" w:hAnsiTheme="majorHAnsi"/>
        </w:rPr>
      </w:pPr>
      <w:r w:rsidRPr="008528F1">
        <w:rPr>
          <w:rFonts w:asciiTheme="majorHAnsi" w:hAnsiTheme="majorHAnsi"/>
        </w:rPr>
        <w:t xml:space="preserve">To ensure we credit your gift and express our gratitude, please ask your IRA administrator to include your full name and mailing address with the gift. If your financial institution cannot include this information, notify us directly at </w:t>
      </w:r>
      <w:r w:rsidRPr="008528F1">
        <w:rPr>
          <w:rFonts w:asciiTheme="majorHAnsi" w:hAnsiTheme="majorHAnsi"/>
          <w:b/>
          <w:bCs/>
        </w:rPr>
        <w:t>janhorn@councilforrelationships.org</w:t>
      </w:r>
      <w:r w:rsidRPr="008528F1">
        <w:rPr>
          <w:rFonts w:asciiTheme="majorHAnsi" w:hAnsiTheme="majorHAnsi"/>
        </w:rPr>
        <w:t xml:space="preserve"> or </w:t>
      </w:r>
      <w:r w:rsidRPr="008528F1">
        <w:rPr>
          <w:rFonts w:asciiTheme="majorHAnsi" w:hAnsiTheme="majorHAnsi"/>
          <w:b/>
          <w:bCs/>
        </w:rPr>
        <w:t>215-382-6680 x</w:t>
      </w:r>
      <w:r>
        <w:rPr>
          <w:rFonts w:asciiTheme="majorHAnsi" w:hAnsiTheme="majorHAnsi"/>
          <w:b/>
          <w:bCs/>
        </w:rPr>
        <w:t>3155</w:t>
      </w:r>
      <w:r w:rsidRPr="008528F1">
        <w:rPr>
          <w:rFonts w:asciiTheme="majorHAnsi" w:hAnsiTheme="majorHAnsi"/>
        </w:rPr>
        <w:t>.</w:t>
      </w:r>
    </w:p>
    <w:p w14:paraId="1BB709A6" w14:textId="77777777" w:rsidR="008528F1" w:rsidRPr="008528F1" w:rsidRDefault="008528F1" w:rsidP="008528F1">
      <w:pPr>
        <w:rPr>
          <w:rFonts w:asciiTheme="majorHAnsi" w:hAnsiTheme="majorHAnsi"/>
        </w:rPr>
      </w:pPr>
      <w:r w:rsidRPr="008528F1">
        <w:rPr>
          <w:rFonts w:asciiTheme="majorHAnsi" w:hAnsiTheme="majorHAnsi"/>
        </w:rPr>
        <w:pict w14:anchorId="581D4436">
          <v:rect id="_x0000_i1029" style="width:0;height:1.5pt" o:hralign="center" o:hrstd="t" o:hr="t" fillcolor="#a0a0a0" stroked="f"/>
        </w:pict>
      </w:r>
    </w:p>
    <w:p w14:paraId="1107F2EB" w14:textId="5A4261F6" w:rsidR="00415C98" w:rsidRPr="008528F1" w:rsidRDefault="008528F1" w:rsidP="008528F1">
      <w:pPr>
        <w:jc w:val="center"/>
        <w:rPr>
          <w:rFonts w:asciiTheme="majorHAnsi" w:hAnsiTheme="majorHAnsi"/>
        </w:rPr>
      </w:pPr>
      <w:r w:rsidRPr="008528F1">
        <w:rPr>
          <w:rFonts w:asciiTheme="majorHAnsi" w:hAnsiTheme="majorHAnsi"/>
          <w:b/>
          <w:bCs/>
        </w:rPr>
        <w:t xml:space="preserve">Thank you for your generous support of </w:t>
      </w:r>
      <w:proofErr w:type="gramStart"/>
      <w:r w:rsidRPr="008528F1">
        <w:rPr>
          <w:rFonts w:asciiTheme="majorHAnsi" w:hAnsiTheme="majorHAnsi"/>
          <w:b/>
          <w:bCs/>
        </w:rPr>
        <w:t>Council</w:t>
      </w:r>
      <w:proofErr w:type="gramEnd"/>
      <w:r w:rsidRPr="008528F1">
        <w:rPr>
          <w:rFonts w:asciiTheme="majorHAnsi" w:hAnsiTheme="majorHAnsi"/>
          <w:b/>
          <w:bCs/>
        </w:rPr>
        <w:t xml:space="preserve"> for Relationships!</w:t>
      </w:r>
    </w:p>
    <w:sectPr w:rsidR="00415C98" w:rsidRPr="008528F1" w:rsidSect="008528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3436A"/>
    <w:multiLevelType w:val="multilevel"/>
    <w:tmpl w:val="0DB06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B13DE3"/>
    <w:multiLevelType w:val="multilevel"/>
    <w:tmpl w:val="BFF6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6512A3"/>
    <w:multiLevelType w:val="multilevel"/>
    <w:tmpl w:val="3BC6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325091">
    <w:abstractNumId w:val="2"/>
  </w:num>
  <w:num w:numId="2" w16cid:durableId="2115127862">
    <w:abstractNumId w:val="1"/>
  </w:num>
  <w:num w:numId="3" w16cid:durableId="193724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F1"/>
    <w:rsid w:val="00415C98"/>
    <w:rsid w:val="008528F1"/>
    <w:rsid w:val="00EE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7C1C"/>
  <w15:chartTrackingRefBased/>
  <w15:docId w15:val="{AA5CF70A-FEC7-40A7-AB1B-CAECE13E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8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8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8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8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8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8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8F1"/>
    <w:rPr>
      <w:rFonts w:eastAsiaTheme="majorEastAsia" w:cstheme="majorBidi"/>
      <w:color w:val="272727" w:themeColor="text1" w:themeTint="D8"/>
    </w:rPr>
  </w:style>
  <w:style w:type="paragraph" w:styleId="Title">
    <w:name w:val="Title"/>
    <w:basedOn w:val="Normal"/>
    <w:next w:val="Normal"/>
    <w:link w:val="TitleChar"/>
    <w:uiPriority w:val="10"/>
    <w:qFormat/>
    <w:rsid w:val="008528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8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8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8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8F1"/>
    <w:pPr>
      <w:spacing w:before="160"/>
      <w:jc w:val="center"/>
    </w:pPr>
    <w:rPr>
      <w:i/>
      <w:iCs/>
      <w:color w:val="404040" w:themeColor="text1" w:themeTint="BF"/>
    </w:rPr>
  </w:style>
  <w:style w:type="character" w:customStyle="1" w:styleId="QuoteChar">
    <w:name w:val="Quote Char"/>
    <w:basedOn w:val="DefaultParagraphFont"/>
    <w:link w:val="Quote"/>
    <w:uiPriority w:val="29"/>
    <w:rsid w:val="008528F1"/>
    <w:rPr>
      <w:i/>
      <w:iCs/>
      <w:color w:val="404040" w:themeColor="text1" w:themeTint="BF"/>
    </w:rPr>
  </w:style>
  <w:style w:type="paragraph" w:styleId="ListParagraph">
    <w:name w:val="List Paragraph"/>
    <w:basedOn w:val="Normal"/>
    <w:uiPriority w:val="34"/>
    <w:qFormat/>
    <w:rsid w:val="008528F1"/>
    <w:pPr>
      <w:ind w:left="720"/>
      <w:contextualSpacing/>
    </w:pPr>
  </w:style>
  <w:style w:type="character" w:styleId="IntenseEmphasis">
    <w:name w:val="Intense Emphasis"/>
    <w:basedOn w:val="DefaultParagraphFont"/>
    <w:uiPriority w:val="21"/>
    <w:qFormat/>
    <w:rsid w:val="008528F1"/>
    <w:rPr>
      <w:i/>
      <w:iCs/>
      <w:color w:val="0F4761" w:themeColor="accent1" w:themeShade="BF"/>
    </w:rPr>
  </w:style>
  <w:style w:type="paragraph" w:styleId="IntenseQuote">
    <w:name w:val="Intense Quote"/>
    <w:basedOn w:val="Normal"/>
    <w:next w:val="Normal"/>
    <w:link w:val="IntenseQuoteChar"/>
    <w:uiPriority w:val="30"/>
    <w:qFormat/>
    <w:rsid w:val="00852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8F1"/>
    <w:rPr>
      <w:i/>
      <w:iCs/>
      <w:color w:val="0F4761" w:themeColor="accent1" w:themeShade="BF"/>
    </w:rPr>
  </w:style>
  <w:style w:type="character" w:styleId="IntenseReference">
    <w:name w:val="Intense Reference"/>
    <w:basedOn w:val="DefaultParagraphFont"/>
    <w:uiPriority w:val="32"/>
    <w:qFormat/>
    <w:rsid w:val="008528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73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Anhorn</dc:creator>
  <cp:keywords/>
  <dc:description/>
  <cp:lastModifiedBy>Jason Anhorn</cp:lastModifiedBy>
  <cp:revision>1</cp:revision>
  <dcterms:created xsi:type="dcterms:W3CDTF">2024-12-05T14:49:00Z</dcterms:created>
  <dcterms:modified xsi:type="dcterms:W3CDTF">2024-12-05T14:54:00Z</dcterms:modified>
</cp:coreProperties>
</file>